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247A5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247A5B">
              <w:t>11.06.2026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7042A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042AE">
              <w:t>26/3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593E8B" w:rsidP="0048529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32B96" w:rsidRPr="00B32B96">
              <w:t>О внесении изменени</w:t>
            </w:r>
            <w:r w:rsidR="0048529D">
              <w:t>й</w:t>
            </w:r>
            <w:r w:rsidR="00B32B96" w:rsidRPr="00B32B96">
              <w:t xml:space="preserve"> в решение региональной службы по тарифам Нижегородской области </w:t>
            </w:r>
            <w:r w:rsidR="00B32B96">
              <w:br/>
            </w:r>
            <w:r w:rsidR="00B32B96" w:rsidRPr="00B32B96">
              <w:t xml:space="preserve">от 22 ноября 2022 г. № 47/86 «Об установлении МУНИЦИПАЛЬНОМУ УНИТАРНОМУ ПРЕДПРИЯТИЮ ВАРНАВИНСКОГО МУНИЦИПАЛЬНОГО ОКРУГА «ТЕПЛОСНАБЖЕНИЕ» (ИНН 5207016782), </w:t>
            </w:r>
            <w:r w:rsidR="00B32B96">
              <w:br/>
            </w:r>
            <w:r w:rsidR="00B32B96" w:rsidRPr="00B32B96">
              <w:t xml:space="preserve">п. Восход Варнавинского муниципального округа Нижегородской области, тарифов на 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461DF" w:rsidRPr="00B32B96" w:rsidRDefault="00B32B96" w:rsidP="003E3410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B32B96">
        <w:rPr>
          <w:bCs/>
          <w:szCs w:val="24"/>
        </w:rPr>
        <w:t xml:space="preserve">тепловую энергию (мощность), поставляемую </w:t>
      </w:r>
      <w:r>
        <w:rPr>
          <w:bCs/>
          <w:szCs w:val="24"/>
        </w:rPr>
        <w:br/>
      </w:r>
      <w:r w:rsidRPr="00B32B96">
        <w:rPr>
          <w:bCs/>
          <w:szCs w:val="24"/>
        </w:rPr>
        <w:t xml:space="preserve">потребителям Варнавинского муниципального </w:t>
      </w:r>
      <w:r>
        <w:rPr>
          <w:bCs/>
          <w:szCs w:val="24"/>
        </w:rPr>
        <w:br/>
      </w:r>
      <w:r w:rsidRPr="00B32B96">
        <w:rPr>
          <w:bCs/>
          <w:szCs w:val="24"/>
        </w:rPr>
        <w:t>округа Нижегородской области»</w:t>
      </w:r>
    </w:p>
    <w:p w:rsidR="00B32B96" w:rsidRDefault="00B32B96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E2764" w:rsidRDefault="000E2764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B32B96" w:rsidRPr="00B32B96" w:rsidRDefault="000A1A78" w:rsidP="00B32B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9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190-ФЗ «О </w:t>
      </w:r>
      <w:r w:rsidRPr="00622554">
        <w:rPr>
          <w:rFonts w:ascii="Times New Roman" w:hAnsi="Times New Roman" w:cs="Times New Roman"/>
          <w:sz w:val="28"/>
          <w:szCs w:val="28"/>
        </w:rPr>
        <w:t xml:space="preserve">теплоснабжении», постановлением Правительства Российской Федерации </w:t>
      </w:r>
      <w:r w:rsidR="00B32B96" w:rsidRPr="00622554">
        <w:rPr>
          <w:rFonts w:ascii="Times New Roman" w:hAnsi="Times New Roman" w:cs="Times New Roman"/>
          <w:sz w:val="28"/>
          <w:szCs w:val="28"/>
        </w:rPr>
        <w:br/>
      </w:r>
      <w:r w:rsidRPr="00622554">
        <w:rPr>
          <w:rFonts w:ascii="Times New Roman" w:hAnsi="Times New Roman" w:cs="Times New Roman"/>
          <w:sz w:val="28"/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3B073D" w:rsidRPr="00622554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B32B96" w:rsidRPr="00622554">
        <w:rPr>
          <w:rFonts w:ascii="Times New Roman" w:hAnsi="Times New Roman" w:cs="Times New Roman"/>
          <w:sz w:val="28"/>
          <w:szCs w:val="28"/>
        </w:rPr>
        <w:t>МУНИЦИПАЛЬНЫМ УНИТАРНЫМ ПРЕДПРИЯТИЕМ ВАРНАВИНСКОГО М</w:t>
      </w:r>
      <w:r w:rsidR="00B32B96" w:rsidRPr="00B32B96">
        <w:rPr>
          <w:rFonts w:ascii="Times New Roman" w:hAnsi="Times New Roman" w:cs="Times New Roman"/>
          <w:sz w:val="28"/>
          <w:szCs w:val="28"/>
        </w:rPr>
        <w:t xml:space="preserve">УНИЦИПАЛЬНОГО ОКРУГА «ТЕПЛОСНАБЖЕНИЕ» (ИНН 5207016782), п. Восход Варнавинского муниципального округа Нижегородской области, </w:t>
      </w:r>
      <w:r w:rsidR="006428EC" w:rsidRPr="006428EC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B32B96" w:rsidRPr="00B32B96">
        <w:rPr>
          <w:rFonts w:ascii="Times New Roman" w:hAnsi="Times New Roman" w:cs="Times New Roman"/>
          <w:sz w:val="28"/>
          <w:szCs w:val="28"/>
        </w:rPr>
        <w:t xml:space="preserve">экспертного заключения рег. № </w:t>
      </w:r>
      <w:r w:rsidR="00B32B96" w:rsidRPr="006D7D22">
        <w:rPr>
          <w:rFonts w:ascii="Times New Roman" w:hAnsi="Times New Roman" w:cs="Times New Roman"/>
          <w:sz w:val="28"/>
          <w:szCs w:val="28"/>
        </w:rPr>
        <w:t>в-</w:t>
      </w:r>
      <w:r w:rsidR="00E80377">
        <w:rPr>
          <w:rFonts w:ascii="Times New Roman" w:hAnsi="Times New Roman" w:cs="Times New Roman"/>
          <w:sz w:val="28"/>
          <w:szCs w:val="28"/>
        </w:rPr>
        <w:t>89</w:t>
      </w:r>
      <w:r w:rsidR="00B32B96" w:rsidRPr="00B32B96">
        <w:rPr>
          <w:rFonts w:ascii="Times New Roman" w:hAnsi="Times New Roman" w:cs="Times New Roman"/>
          <w:sz w:val="28"/>
          <w:szCs w:val="28"/>
        </w:rPr>
        <w:t xml:space="preserve"> </w:t>
      </w:r>
      <w:r w:rsidR="006A113F" w:rsidRPr="006A113F">
        <w:rPr>
          <w:rFonts w:ascii="Times New Roman" w:hAnsi="Times New Roman" w:cs="Times New Roman"/>
          <w:sz w:val="28"/>
          <w:szCs w:val="28"/>
        </w:rPr>
        <w:t xml:space="preserve">от </w:t>
      </w:r>
      <w:r w:rsidR="00E80377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446C3A">
        <w:rPr>
          <w:rFonts w:ascii="Times New Roman" w:hAnsi="Times New Roman" w:cs="Times New Roman"/>
          <w:sz w:val="28"/>
          <w:szCs w:val="28"/>
        </w:rPr>
        <w:t>202</w:t>
      </w:r>
      <w:r w:rsidR="009F791A">
        <w:rPr>
          <w:rFonts w:ascii="Times New Roman" w:hAnsi="Times New Roman" w:cs="Times New Roman"/>
          <w:sz w:val="28"/>
          <w:szCs w:val="28"/>
        </w:rPr>
        <w:t>6</w:t>
      </w:r>
      <w:r w:rsidR="006A113F" w:rsidRPr="006A113F">
        <w:rPr>
          <w:rFonts w:ascii="Times New Roman" w:hAnsi="Times New Roman" w:cs="Times New Roman"/>
          <w:sz w:val="28"/>
          <w:szCs w:val="28"/>
        </w:rPr>
        <w:t xml:space="preserve"> г.:</w:t>
      </w:r>
    </w:p>
    <w:p w:rsidR="00EC4767" w:rsidRDefault="0048529D" w:rsidP="0048529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48529D">
        <w:rPr>
          <w:b/>
          <w:szCs w:val="24"/>
        </w:rPr>
        <w:t xml:space="preserve">1. </w:t>
      </w:r>
      <w:r w:rsidRPr="0048529D">
        <w:rPr>
          <w:szCs w:val="24"/>
        </w:rPr>
        <w:t xml:space="preserve">Внести в </w:t>
      </w:r>
      <w:r w:rsidR="000C5DBE">
        <w:rPr>
          <w:szCs w:val="24"/>
        </w:rPr>
        <w:t>решение</w:t>
      </w:r>
      <w:r w:rsidRPr="0048529D">
        <w:rPr>
          <w:szCs w:val="24"/>
        </w:rPr>
        <w:t xml:space="preserve"> </w:t>
      </w:r>
      <w:r w:rsidRPr="0048529D">
        <w:rPr>
          <w:noProof/>
          <w:szCs w:val="24"/>
        </w:rPr>
        <w:t xml:space="preserve">региональной службы по тарифам Нижегородской области </w:t>
      </w:r>
      <w:r w:rsidRPr="0048529D">
        <w:rPr>
          <w:bCs/>
          <w:szCs w:val="24"/>
        </w:rPr>
        <w:t xml:space="preserve">от 22 ноября 2022 г. № 47/86 «Об установлении МУНИЦИПАЛЬНОМУ УНИТАРНОМУ ПРЕДПРИЯТИЮ ВАРНАВИНСКОГО МУНИЦИПАЛЬНОГО ОКРУГА «ТЕПЛОСНАБЖЕНИЕ» (ИНН 5207016782), п. Восход Варнавинского муниципального округа Нижегородской области, тарифов на тепловую энергию (мощность), поставляемую потребителям Варнавинского муниципального округа Нижегородской области» </w:t>
      </w:r>
      <w:r w:rsidR="00EC4767">
        <w:rPr>
          <w:bCs/>
          <w:szCs w:val="24"/>
        </w:rPr>
        <w:t xml:space="preserve">следующие </w:t>
      </w:r>
      <w:r w:rsidRPr="0048529D">
        <w:rPr>
          <w:bCs/>
          <w:szCs w:val="24"/>
        </w:rPr>
        <w:t>изменения</w:t>
      </w:r>
      <w:r w:rsidR="00EC4767">
        <w:rPr>
          <w:bCs/>
          <w:szCs w:val="24"/>
        </w:rPr>
        <w:t>:</w:t>
      </w:r>
    </w:p>
    <w:p w:rsidR="00EC4767" w:rsidRPr="00DF481A" w:rsidRDefault="00EC4767" w:rsidP="00EC4767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  <w:szCs w:val="28"/>
        </w:rPr>
        <w:lastRenderedPageBreak/>
        <w:t>1</w:t>
      </w:r>
      <w:r w:rsidRPr="003C1113">
        <w:rPr>
          <w:b/>
          <w:szCs w:val="28"/>
        </w:rPr>
        <w:t xml:space="preserve">.1. </w:t>
      </w:r>
      <w:r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:rsidR="00EC4767" w:rsidRPr="008741C7" w:rsidRDefault="00EC4767" w:rsidP="00EC476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1</w:t>
      </w:r>
      <w:r w:rsidRPr="00DF481A">
        <w:rPr>
          <w:b/>
          <w:bCs/>
        </w:rPr>
        <w:t>.2.</w:t>
      </w:r>
      <w:r>
        <w:rPr>
          <w:b/>
          <w:bCs/>
        </w:rPr>
        <w:t xml:space="preserve"> </w:t>
      </w:r>
      <w:r w:rsidRPr="008741C7">
        <w:rPr>
          <w:bCs/>
        </w:rPr>
        <w:t>В Приложении 2 к решению:</w:t>
      </w:r>
    </w:p>
    <w:p w:rsidR="00EC4767" w:rsidRDefault="00EC4767" w:rsidP="00EC47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перед таблицей, содержащей тарифы </w:t>
      </w:r>
      <w:r w:rsidRPr="008741C7">
        <w:rPr>
          <w:szCs w:val="24"/>
        </w:rPr>
        <w:t>на тепловую энергию (мощность) на 2025</w:t>
      </w:r>
      <w:r>
        <w:rPr>
          <w:szCs w:val="24"/>
        </w:rPr>
        <w:t xml:space="preserve"> и</w:t>
      </w:r>
      <w:r w:rsidRPr="008741C7">
        <w:rPr>
          <w:szCs w:val="24"/>
        </w:rPr>
        <w:t xml:space="preserve"> 2027</w:t>
      </w:r>
      <w:r>
        <w:rPr>
          <w:szCs w:val="24"/>
        </w:rPr>
        <w:t xml:space="preserve"> </w:t>
      </w:r>
      <w:r w:rsidRPr="008741C7">
        <w:rPr>
          <w:szCs w:val="24"/>
        </w:rPr>
        <w:t>годы дополнить</w:t>
      </w:r>
      <w:r>
        <w:rPr>
          <w:szCs w:val="24"/>
        </w:rPr>
        <w:t xml:space="preserve"> </w:t>
      </w:r>
      <w:r w:rsidRPr="008741C7">
        <w:rPr>
          <w:szCs w:val="24"/>
        </w:rPr>
        <w:t>словами «Таблица 1»</w:t>
      </w:r>
      <w:r>
        <w:rPr>
          <w:szCs w:val="24"/>
        </w:rPr>
        <w:t>;</w:t>
      </w:r>
    </w:p>
    <w:p w:rsidR="00EC4767" w:rsidRPr="008741C7" w:rsidRDefault="00EC4767" w:rsidP="00EC47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2)</w:t>
      </w:r>
      <w:r w:rsidRPr="00DF481A">
        <w:rPr>
          <w:bCs/>
        </w:rPr>
        <w:t xml:space="preserve"> </w:t>
      </w:r>
      <w:r w:rsidRPr="008741C7">
        <w:rPr>
          <w:bCs/>
        </w:rPr>
        <w:t xml:space="preserve">перед таблицей, </w:t>
      </w:r>
      <w:r w:rsidRPr="008741C7">
        <w:rPr>
          <w:szCs w:val="24"/>
        </w:rPr>
        <w:t>содержащей тарифы на тепловую энергию (мощность) на 2026 год, дополнить словами «Таблица 2»;</w:t>
      </w:r>
    </w:p>
    <w:p w:rsidR="00EC4767" w:rsidRDefault="00EC4767" w:rsidP="00EC47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szCs w:val="24"/>
        </w:rPr>
        <w:t xml:space="preserve">3) </w:t>
      </w:r>
      <w:r w:rsidRPr="008741C7">
        <w:rPr>
          <w:bCs/>
        </w:rPr>
        <w:t>т</w:t>
      </w:r>
      <w:r w:rsidRPr="008741C7">
        <w:rPr>
          <w:bCs/>
          <w:szCs w:val="24"/>
        </w:rPr>
        <w:t>аблицу</w:t>
      </w:r>
      <w:r w:rsidRPr="008741C7">
        <w:rPr>
          <w:szCs w:val="24"/>
        </w:rPr>
        <w:t>, содержащую тарифы</w:t>
      </w:r>
      <w:r w:rsidRPr="008741C7">
        <w:rPr>
          <w:szCs w:val="28"/>
        </w:rPr>
        <w:t xml:space="preserve"> на тепловую энергию (мощность) на 2026 год</w:t>
      </w:r>
      <w:r w:rsidRPr="008741C7">
        <w:rPr>
          <w:szCs w:val="24"/>
        </w:rPr>
        <w:t>, изложить в следующей редакции:</w:t>
      </w:r>
    </w:p>
    <w:p w:rsidR="00EC4767" w:rsidRDefault="00EC4767" w:rsidP="00EC4767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419"/>
        <w:gridCol w:w="2268"/>
        <w:gridCol w:w="709"/>
        <w:gridCol w:w="1276"/>
        <w:gridCol w:w="1361"/>
      </w:tblGrid>
      <w:tr w:rsidR="00EC4767" w:rsidRPr="007B5D17" w:rsidTr="00247A5B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C4767" w:rsidRPr="007B5D17" w:rsidTr="00247A5B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7" w:rsidRPr="007B5D17" w:rsidRDefault="00EC4767" w:rsidP="004A138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7" w:rsidRPr="007B5D17" w:rsidRDefault="00EC4767" w:rsidP="004A138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7" w:rsidRPr="007B5D17" w:rsidRDefault="00EC4767" w:rsidP="004A138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7" w:rsidRPr="007B5D17" w:rsidRDefault="00EC4767" w:rsidP="004A138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816C1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7A5B">
              <w:rPr>
                <w:b/>
                <w:bCs/>
                <w:sz w:val="16"/>
                <w:szCs w:val="18"/>
              </w:rPr>
              <w:t xml:space="preserve">с </w:t>
            </w:r>
            <w:r w:rsidR="00816C1D" w:rsidRPr="00247A5B">
              <w:rPr>
                <w:b/>
                <w:bCs/>
                <w:sz w:val="16"/>
                <w:szCs w:val="18"/>
              </w:rPr>
              <w:t>1 июля</w:t>
            </w:r>
            <w:r w:rsidRPr="007B5D17">
              <w:rPr>
                <w:b/>
                <w:bCs/>
                <w:sz w:val="16"/>
                <w:szCs w:val="18"/>
              </w:rPr>
              <w:t xml:space="preserve"> по 30 сентября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 xml:space="preserve">с 1 октября по </w:t>
            </w:r>
          </w:p>
          <w:p w:rsidR="00EC4767" w:rsidRPr="007B5D17" w:rsidRDefault="00EC4767" w:rsidP="004A138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C4767" w:rsidRPr="007B5D17" w:rsidTr="00247A5B">
        <w:trPr>
          <w:trHeight w:val="2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1D" w:rsidRPr="00816C1D" w:rsidRDefault="00816C1D" w:rsidP="00816C1D">
            <w:pPr>
              <w:autoSpaceDE w:val="0"/>
              <w:autoSpaceDN w:val="0"/>
              <w:adjustRightInd w:val="0"/>
              <w:rPr>
                <w:noProof/>
                <w:sz w:val="18"/>
                <w:szCs w:val="19"/>
              </w:rPr>
            </w:pPr>
            <w:r w:rsidRPr="00816C1D">
              <w:rPr>
                <w:noProof/>
                <w:sz w:val="18"/>
                <w:szCs w:val="19"/>
              </w:rPr>
              <w:t>МУНИЦИПАЛЬНОЕ УНИТАРНОЕ ПРЕДПРИЯТИЕ ВАРНАВИНСКОГО МУНИЦИ</w:t>
            </w:r>
            <w:r>
              <w:rPr>
                <w:noProof/>
                <w:sz w:val="18"/>
                <w:szCs w:val="19"/>
              </w:rPr>
              <w:t>ПАЛЬНОГО ОКРУГА «ТЕПЛОСНАБЖЕНИЕ»</w:t>
            </w:r>
          </w:p>
          <w:p w:rsidR="00EC4767" w:rsidRPr="007B5D17" w:rsidRDefault="00816C1D" w:rsidP="00816C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6C1D">
              <w:rPr>
                <w:noProof/>
                <w:sz w:val="18"/>
                <w:szCs w:val="19"/>
              </w:rPr>
              <w:t>(ИНН 5207016782), п. Восход Варнавинского муниципального округа Нижегородской области</w:t>
            </w: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7B5D17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7A5B" w:rsidRPr="007B5D17" w:rsidTr="00247A5B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5B" w:rsidRPr="007B5D17" w:rsidRDefault="00247A5B" w:rsidP="00247A5B">
            <w:pPr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5B" w:rsidRPr="007B5D17" w:rsidRDefault="00247A5B" w:rsidP="00247A5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5B" w:rsidRPr="007B5D17" w:rsidRDefault="00247A5B" w:rsidP="00247A5B">
            <w:pPr>
              <w:rPr>
                <w:sz w:val="18"/>
                <w:szCs w:val="18"/>
              </w:rPr>
            </w:pPr>
            <w:r w:rsidRPr="007B5D17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5B" w:rsidRPr="007B5D17" w:rsidRDefault="00247A5B" w:rsidP="00247A5B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7B5D17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5B" w:rsidRPr="00247A5B" w:rsidRDefault="00247A5B" w:rsidP="00247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Pr="00247A5B">
              <w:rPr>
                <w:sz w:val="18"/>
              </w:rPr>
              <w:t>937,51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5B" w:rsidRPr="00247A5B" w:rsidRDefault="00247A5B" w:rsidP="00247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247A5B">
              <w:rPr>
                <w:sz w:val="18"/>
              </w:rPr>
              <w:t>327,32</w:t>
            </w:r>
          </w:p>
        </w:tc>
      </w:tr>
      <w:tr w:rsidR="00EC4767" w:rsidRPr="007B5D17" w:rsidTr="00247A5B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7" w:rsidRPr="007B5D17" w:rsidRDefault="00EC4767" w:rsidP="004A138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7" w:rsidRPr="007B5D17" w:rsidRDefault="00EC4767" w:rsidP="004A1382">
            <w:pPr>
              <w:rPr>
                <w:sz w:val="18"/>
                <w:szCs w:val="18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7" w:rsidRPr="007B5D17" w:rsidRDefault="00EC4767" w:rsidP="004A1382">
            <w:pPr>
              <w:ind w:left="-24" w:firstLine="24"/>
              <w:rPr>
                <w:sz w:val="18"/>
                <w:szCs w:val="18"/>
              </w:rPr>
            </w:pPr>
            <w:r w:rsidRPr="007B5D17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247A5B" w:rsidRPr="007B5D17" w:rsidTr="00247A5B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5B" w:rsidRPr="007B5D17" w:rsidRDefault="00247A5B" w:rsidP="00247A5B">
            <w:pPr>
              <w:jc w:val="center"/>
              <w:rPr>
                <w:b/>
                <w:bCs/>
                <w:sz w:val="16"/>
                <w:szCs w:val="18"/>
              </w:rPr>
            </w:pPr>
            <w:r w:rsidRPr="007B5D17">
              <w:rPr>
                <w:b/>
                <w:bCs/>
                <w:sz w:val="16"/>
                <w:szCs w:val="18"/>
              </w:rPr>
              <w:t>1.2.</w:t>
            </w: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5B" w:rsidRPr="007B5D17" w:rsidRDefault="00247A5B" w:rsidP="00247A5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5B" w:rsidRPr="007B5D17" w:rsidRDefault="00247A5B" w:rsidP="00247A5B">
            <w:pPr>
              <w:rPr>
                <w:sz w:val="18"/>
                <w:szCs w:val="18"/>
              </w:rPr>
            </w:pPr>
            <w:r w:rsidRPr="007B5D17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5B" w:rsidRPr="007B5D17" w:rsidRDefault="00247A5B" w:rsidP="00247A5B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7B5D17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5B" w:rsidRPr="00247A5B" w:rsidRDefault="00247A5B" w:rsidP="00247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247A5B">
              <w:rPr>
                <w:sz w:val="18"/>
              </w:rPr>
              <w:t>134,39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5B" w:rsidRPr="00247A5B" w:rsidRDefault="00247A5B" w:rsidP="00247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247A5B">
              <w:rPr>
                <w:sz w:val="18"/>
              </w:rPr>
              <w:t>543,69</w:t>
            </w:r>
          </w:p>
        </w:tc>
      </w:tr>
    </w:tbl>
    <w:p w:rsidR="00EC4767" w:rsidRPr="007B5D17" w:rsidRDefault="00EC4767" w:rsidP="00EC4767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7B5D17">
        <w:rPr>
          <w:szCs w:val="24"/>
        </w:rPr>
        <w:t>».</w:t>
      </w:r>
    </w:p>
    <w:p w:rsidR="00EC4767" w:rsidRPr="008A2A90" w:rsidRDefault="00EC4767" w:rsidP="00EC4767">
      <w:pPr>
        <w:spacing w:line="276" w:lineRule="auto"/>
        <w:rPr>
          <w:szCs w:val="24"/>
        </w:rPr>
      </w:pPr>
      <w:r w:rsidRPr="007B5D17">
        <w:t xml:space="preserve"> </w:t>
      </w:r>
      <w:r w:rsidRPr="007B5D17">
        <w:tab/>
      </w:r>
      <w:r w:rsidRPr="007B5D17">
        <w:rPr>
          <w:b/>
          <w:szCs w:val="24"/>
        </w:rPr>
        <w:t xml:space="preserve">2. </w:t>
      </w:r>
      <w:r w:rsidRPr="007B5D17">
        <w:rPr>
          <w:color w:val="000000"/>
          <w:szCs w:val="24"/>
        </w:rPr>
        <w:t xml:space="preserve">Настоящее решение вступает в силу с </w:t>
      </w:r>
      <w:r w:rsidR="00816C1D">
        <w:rPr>
          <w:color w:val="000000"/>
          <w:szCs w:val="24"/>
        </w:rPr>
        <w:t>1 июля</w:t>
      </w:r>
      <w:r w:rsidRPr="007B5D17">
        <w:rPr>
          <w:color w:val="000000"/>
          <w:szCs w:val="24"/>
        </w:rPr>
        <w:t xml:space="preserve"> 2026 г.</w:t>
      </w:r>
    </w:p>
    <w:p w:rsidR="00816C1D" w:rsidRDefault="00816C1D" w:rsidP="003F2C9F">
      <w:pPr>
        <w:spacing w:line="276" w:lineRule="auto"/>
        <w:ind w:firstLine="709"/>
        <w:jc w:val="both"/>
        <w:rPr>
          <w:szCs w:val="28"/>
        </w:rPr>
      </w:pPr>
    </w:p>
    <w:p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:rsidR="00E601CC" w:rsidRDefault="00A0231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Ю.Л.Алешина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FE" w:rsidRDefault="00F67AFE">
      <w:r>
        <w:separator/>
      </w:r>
    </w:p>
  </w:endnote>
  <w:endnote w:type="continuationSeparator" w:id="0">
    <w:p w:rsidR="00F67AFE" w:rsidRDefault="00F6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FE" w:rsidRDefault="00F67AFE">
      <w:r>
        <w:separator/>
      </w:r>
    </w:p>
  </w:footnote>
  <w:footnote w:type="continuationSeparator" w:id="0">
    <w:p w:rsidR="00F67AFE" w:rsidRDefault="00F67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42AE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0460F5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BC5DA1" wp14:editId="3860BAA3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BC5DA1" wp14:editId="3860BAA3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4DC7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5DBE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2764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6D2C"/>
    <w:rsid w:val="001A77C9"/>
    <w:rsid w:val="001B0311"/>
    <w:rsid w:val="001B03B6"/>
    <w:rsid w:val="001B4BEC"/>
    <w:rsid w:val="001B4F19"/>
    <w:rsid w:val="001B69D3"/>
    <w:rsid w:val="001B6C9D"/>
    <w:rsid w:val="001B7404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7A5B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2F0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B1"/>
    <w:rsid w:val="003D6483"/>
    <w:rsid w:val="003D6B37"/>
    <w:rsid w:val="003E01AC"/>
    <w:rsid w:val="003E03AD"/>
    <w:rsid w:val="003E2728"/>
    <w:rsid w:val="003E2AC5"/>
    <w:rsid w:val="003E2AD9"/>
    <w:rsid w:val="003E3410"/>
    <w:rsid w:val="003E3712"/>
    <w:rsid w:val="003E3B92"/>
    <w:rsid w:val="003E3FD2"/>
    <w:rsid w:val="003E3FEC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2C9F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26166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1DF"/>
    <w:rsid w:val="00446366"/>
    <w:rsid w:val="004466A1"/>
    <w:rsid w:val="00446C3A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29D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68B"/>
    <w:rsid w:val="004C7B64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097D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4EAF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A0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554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8EC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13F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D22"/>
    <w:rsid w:val="006E0300"/>
    <w:rsid w:val="006E115C"/>
    <w:rsid w:val="006E1311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42A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DFF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402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71E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AAD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16C1D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1773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197"/>
    <w:rsid w:val="009C35DD"/>
    <w:rsid w:val="009C3740"/>
    <w:rsid w:val="009C3BB9"/>
    <w:rsid w:val="009C464B"/>
    <w:rsid w:val="009C4B30"/>
    <w:rsid w:val="009C4B58"/>
    <w:rsid w:val="009C6231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6F5D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9F791A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9DA"/>
    <w:rsid w:val="00A63BB2"/>
    <w:rsid w:val="00A642FD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4A86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0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B0"/>
    <w:rsid w:val="00EA68E2"/>
    <w:rsid w:val="00EB11E0"/>
    <w:rsid w:val="00EB193E"/>
    <w:rsid w:val="00EB2364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767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D6D"/>
    <w:rsid w:val="00F40898"/>
    <w:rsid w:val="00F419CC"/>
    <w:rsid w:val="00F422B9"/>
    <w:rsid w:val="00F4277B"/>
    <w:rsid w:val="00F43223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67AFE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Олексенко Анна Сергеевна</cp:lastModifiedBy>
  <cp:revision>29</cp:revision>
  <cp:lastPrinted>2020-10-12T14:44:00Z</cp:lastPrinted>
  <dcterms:created xsi:type="dcterms:W3CDTF">2023-07-06T08:00:00Z</dcterms:created>
  <dcterms:modified xsi:type="dcterms:W3CDTF">2026-06-10T07:55:00Z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